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Informacja na temat stosowania arkuszy INF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w związku z wdrożeniem unijnego centralnego systemu UCC INF SP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W ślad za Newsletterem AEO nr 03/2020 z dnia 13 maja 2020 r. i Newsletterem nr Z/29/2020 z dnia 13 maja 2020 r. informujemy: </w:t>
      </w:r>
    </w:p>
    <w:p w:rsidR="00C978A8" w:rsidRDefault="00C978A8" w:rsidP="00C978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C978A8">
        <w:rPr>
          <w:rFonts w:asciiTheme="minorHAnsi" w:hAnsiTheme="minorHAnsi" w:cstheme="minorHAnsi"/>
          <w:sz w:val="22"/>
          <w:szCs w:val="22"/>
        </w:rPr>
        <w:t xml:space="preserve">Od dnia 1 czerwca 2020 r. istnieje obowiązek wymiany informacji (INF) przy wykorzystaniu unijnego, centralnego systemu INF.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System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C978A8">
        <w:rPr>
          <w:rFonts w:asciiTheme="minorHAnsi" w:hAnsiTheme="minorHAnsi" w:cstheme="minorHAnsi"/>
          <w:sz w:val="22"/>
          <w:szCs w:val="22"/>
        </w:rPr>
        <w:t xml:space="preserve"> wykorzystywany dla następujących przypadków: </w:t>
      </w:r>
    </w:p>
    <w:p w:rsidR="00C978A8" w:rsidRPr="00C978A8" w:rsidRDefault="00C978A8" w:rsidP="00C978A8">
      <w:pPr>
        <w:pStyle w:val="Default"/>
        <w:numPr>
          <w:ilvl w:val="0"/>
          <w:numId w:val="1"/>
        </w:numPr>
        <w:spacing w:after="147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a) procedury uszlachetniania czynnego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IP EX/IM </w:t>
      </w:r>
      <w:r w:rsidRPr="00C978A8">
        <w:rPr>
          <w:rFonts w:asciiTheme="minorHAnsi" w:hAnsiTheme="minorHAnsi" w:cstheme="minorHAnsi"/>
          <w:sz w:val="22"/>
          <w:szCs w:val="22"/>
        </w:rPr>
        <w:t xml:space="preserve">lub procedury uszlachetniania biernego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>OP EX/IM</w:t>
      </w:r>
      <w:r w:rsidRPr="00C978A8">
        <w:rPr>
          <w:rFonts w:asciiTheme="minorHAnsi" w:hAnsiTheme="minorHAnsi" w:cstheme="minorHAnsi"/>
          <w:sz w:val="22"/>
          <w:szCs w:val="22"/>
        </w:rPr>
        <w:t xml:space="preserve">, jeżeli w procedurę zaangażowane jest jedno lub więcej niż jedno państwo członkowskie, </w:t>
      </w:r>
    </w:p>
    <w:p w:rsidR="00C978A8" w:rsidRPr="00C978A8" w:rsidRDefault="00C978A8" w:rsidP="00C978A8">
      <w:pPr>
        <w:pStyle w:val="Default"/>
        <w:numPr>
          <w:ilvl w:val="0"/>
          <w:numId w:val="1"/>
        </w:numPr>
        <w:spacing w:after="147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b) procedury uszlachetniania czynnego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IP IM/EX </w:t>
      </w:r>
      <w:r w:rsidRPr="00C978A8">
        <w:rPr>
          <w:rFonts w:asciiTheme="minorHAnsi" w:hAnsiTheme="minorHAnsi" w:cstheme="minorHAnsi"/>
          <w:sz w:val="22"/>
          <w:szCs w:val="22"/>
        </w:rPr>
        <w:t xml:space="preserve">lub procedury uszlachetniania biernego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>OP IM/EX</w:t>
      </w:r>
      <w:r w:rsidRPr="00C978A8">
        <w:rPr>
          <w:rFonts w:asciiTheme="minorHAnsi" w:hAnsiTheme="minorHAnsi" w:cstheme="minorHAnsi"/>
          <w:sz w:val="22"/>
          <w:szCs w:val="22"/>
        </w:rPr>
        <w:t xml:space="preserve">, jeżeli w procedurę zaangażowane jest więcej niż jedno państwo członkowskie, </w:t>
      </w:r>
    </w:p>
    <w:p w:rsidR="00C978A8" w:rsidRPr="00C978A8" w:rsidRDefault="00C978A8" w:rsidP="000E508E">
      <w:pPr>
        <w:pStyle w:val="Default"/>
        <w:spacing w:after="147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C978A8">
        <w:rPr>
          <w:rFonts w:asciiTheme="minorHAnsi" w:hAnsiTheme="minorHAnsi" w:cstheme="minorHAnsi"/>
          <w:sz w:val="22"/>
          <w:szCs w:val="22"/>
        </w:rPr>
        <w:t xml:space="preserve">W systemie należy przetwarzać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tylko nowe wnioski </w:t>
      </w:r>
      <w:r w:rsidRPr="00C978A8">
        <w:rPr>
          <w:rFonts w:asciiTheme="minorHAnsi" w:hAnsiTheme="minorHAnsi" w:cstheme="minorHAnsi"/>
          <w:sz w:val="22"/>
          <w:szCs w:val="22"/>
        </w:rPr>
        <w:t xml:space="preserve">o utworzenie INF, a więc takie, które zostały zainicjowane od dnia 1 czerwca 2020 r. </w:t>
      </w:r>
    </w:p>
    <w:p w:rsidR="00C978A8" w:rsidRPr="00C978A8" w:rsidRDefault="00C978A8" w:rsidP="000E508E">
      <w:pPr>
        <w:pStyle w:val="Default"/>
        <w:spacing w:after="147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Pr="00C978A8">
        <w:rPr>
          <w:rFonts w:asciiTheme="minorHAnsi" w:hAnsiTheme="minorHAnsi" w:cstheme="minorHAnsi"/>
          <w:sz w:val="22"/>
          <w:szCs w:val="22"/>
        </w:rPr>
        <w:t xml:space="preserve">Nie ma obowiązku wprowadzania do systemu danych z papierowych arkuszy, które zostały wydane i użyte przed 1 czerwca 2020 r., a nie zostały jeszcze w całości „zakończone”/”rozliczone”. Obsługa takich arkuszy, w celu ich „zakończenia” /”rozliczenia”, kontynuowana jest w formie papierowej, a więc następuje poza systemem. </w:t>
      </w:r>
    </w:p>
    <w:p w:rsid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Pr="00C978A8">
        <w:rPr>
          <w:rFonts w:asciiTheme="minorHAnsi" w:hAnsiTheme="minorHAnsi" w:cstheme="minorHAnsi"/>
          <w:sz w:val="22"/>
          <w:szCs w:val="22"/>
        </w:rPr>
        <w:t xml:space="preserve">Jeżeli podmiot posiada pozwolenie krajowe, w którym wskazano na stosowanie INF i po dniu 31 maja 2020 r. podmiot złoży wniosek o INF w postaci papierowej, a nie elektronicznej, to zgodnie z art. 23 ust. 1 przejściowego rozporządzenia delegowanego Komisji (EU) 2016/341 z dnia 17 grudnia 2015 r., zwanego dalej PRD, organ celny odmówi przyjęcia takiego INF i jednocześnie poinformuje podmiot o konieczności utworzenia INF w systemie. W myśl bowiem ww. artykułu, organy celne mogą zezwolić na wykorzystanie w celu ujednoliconej wymiany informacji środków innych niż techniki elektronicznego przetwarzania danych tylko do daty wdrożenia systemu INF. </w:t>
      </w:r>
    </w:p>
    <w:p w:rsid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Występują następujące przypadki szczególne. </w:t>
      </w:r>
    </w:p>
    <w:p w:rsidR="00C978A8" w:rsidRDefault="00C978A8" w:rsidP="00C978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4.1 </w:t>
      </w:r>
      <w:r w:rsidRPr="00C978A8">
        <w:rPr>
          <w:rFonts w:asciiTheme="minorHAnsi" w:hAnsiTheme="minorHAnsi" w:cstheme="minorHAnsi"/>
          <w:sz w:val="22"/>
          <w:szCs w:val="22"/>
        </w:rPr>
        <w:t xml:space="preserve">Brak dostępu do systemu w innym państwie członkowskim: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Jeśli zostało wydane pozwolenie na stosowanie procedury uszlachetniania czynnego lub uszlachetniania biernego obejmujące więcej niż jedno państwo członkowskie, w którym Polska jest państwem wydającym lub państwem uczestniczącym, a pozostałe państwa (państwo) członkowskie objęte tym pozwoleniem (jako wydające lub uczestniczące) mają ogłoszoną niedostępność systemu, to w takim przypadku należy stosować dotychczasowe papierowe formularze INF. W związku z tym przy zgłoszeniach celnych należy podać w polu 44 zgłoszenia celnego kod C710 oraz „stary” kod TARIC - odpowiadający danemu INF (C603 dla INF 1, C604 dla INF2, C606 dla INF5, C610 dla INF9) - po których należy podać numer danego INF.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Taki przypadek szczególny nie będzie obsługiwany w systemie INF. </w:t>
      </w:r>
    </w:p>
    <w:p w:rsidR="00C978A8" w:rsidRPr="00C978A8" w:rsidRDefault="00C978A8" w:rsidP="00C978A8">
      <w:pPr>
        <w:pStyle w:val="Default"/>
        <w:pageBreakBefore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4.2 </w:t>
      </w:r>
      <w:r w:rsidRPr="00C978A8">
        <w:rPr>
          <w:rFonts w:asciiTheme="minorHAnsi" w:hAnsiTheme="minorHAnsi" w:cstheme="minorHAnsi"/>
          <w:sz w:val="22"/>
          <w:szCs w:val="22"/>
        </w:rPr>
        <w:t xml:space="preserve">Obsługa INF wydanych i użytych przed 1 czerwca 2020 r.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W przypadku papierowych formularzy INF, które zostały już wydane i użyte przed 1 czerwca 2020 r., a nie zostały jeszcze w całości „zakończone”/”rozliczone”, przedstawianych po dniu 31 maja 2020 r., przy zgłoszeniach celnych należy podać w polu 44 zgłoszenia celnego odpowiednio kody dokumentów TARIC: C603 (dla INF 1), C604 (dla INF2), C606 (dla INF5), C610 (dla INF9), po których należy podać numer danego INF oraz podać nowy kod C710 z tym samym numerem INF.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Taki przypadek szczególny nie będzie obsługiwany w systemie INF.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Pr="00C978A8">
        <w:rPr>
          <w:rFonts w:asciiTheme="minorHAnsi" w:hAnsiTheme="minorHAnsi" w:cstheme="minorHAnsi"/>
          <w:sz w:val="22"/>
          <w:szCs w:val="22"/>
        </w:rPr>
        <w:t xml:space="preserve">W wyjątkowych przypadkach, takich jak awaria systemu, można skorzystać z funkcjonalności „Wprowadź INF”, tj. z możliwości wprowadzenia wniosku o utworzenie INF przez organ celny w imieniu podmiotu, za jego zgodą. Funkcjonalność ta ma charakter tymczasowy i nie wiadomo, czy zostanie docelowo pozostawiona w systemie. Alternatywnym rozwiązaniem jest złożenie innego dokumentu elektronicznego, przewidzianego w art. 176 ust. 1 lit. a) UKC-RD (skorzystanie z innych środków elektronicznej wymiany informacji).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Pr="00C978A8">
        <w:rPr>
          <w:rFonts w:asciiTheme="minorHAnsi" w:hAnsiTheme="minorHAnsi" w:cstheme="minorHAnsi"/>
          <w:sz w:val="22"/>
          <w:szCs w:val="22"/>
        </w:rPr>
        <w:t xml:space="preserve">Utworzony w systemie wniosek o INF jest zatwierdzany przez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kontrolny urząd celny </w:t>
      </w:r>
      <w:r w:rsidRPr="00C978A8">
        <w:rPr>
          <w:rFonts w:asciiTheme="minorHAnsi" w:hAnsiTheme="minorHAnsi" w:cstheme="minorHAnsi"/>
          <w:sz w:val="22"/>
          <w:szCs w:val="22"/>
        </w:rPr>
        <w:t xml:space="preserve">wskazany w pozwoleniu na stosowanie procedury uszlachetniania czynnego lub uszlachetniania biernego.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7. </w:t>
      </w:r>
      <w:r w:rsidRPr="00C978A8">
        <w:rPr>
          <w:rFonts w:asciiTheme="minorHAnsi" w:hAnsiTheme="minorHAnsi" w:cstheme="minorHAnsi"/>
          <w:sz w:val="22"/>
          <w:szCs w:val="22"/>
        </w:rPr>
        <w:t xml:space="preserve">Wniosek o INF nie może dotyczyć towarów w ilości przekraczającej ilość określoną w udzielonym pozwoleniu.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8. Przebieg obsługi INF w ramach systemu w przypadku pozwolenia w pełnej formie: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• posiadacz pozwolenia lub upoważniony przez niego przedstawiciel przesyła wniosek o utworzenie INF do kontrolnego urzędu celnego wskazanego w pozwoleniu;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• kontrolny urząd celny zatwierdza wniosek po weryfikacji danych INF i pozwolenia,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• INF wraz ze zgłoszeniem celnym jest obsługiwany przez CUDO właściwe miejscowo ze względu na miejsce przedstawienia towaru.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9. Przebieg obsługi INF w ramach systemu w przypadku pozwolenia na zgłoszeniu celnym.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• podmiot lub upoważniony przez niego przedstawiciel przesyła wniosek o INF do CUDO właściwego miejscowo ze względu na przewidywane miejsce przedstawienia towaru;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• CUDO zatwierdza wniosek;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• zgłoszenie celne zostanie zarejestrowane przez CUDO, a towar zwolniony do wnioskowanej procedury po zweryfikowaniu zgodności danych INF i zgłoszenia.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10. </w:t>
      </w:r>
      <w:r w:rsidRPr="00C978A8">
        <w:rPr>
          <w:rFonts w:asciiTheme="minorHAnsi" w:hAnsiTheme="minorHAnsi" w:cstheme="minorHAnsi"/>
          <w:sz w:val="22"/>
          <w:szCs w:val="22"/>
        </w:rPr>
        <w:t xml:space="preserve">W przypadku gdy wniosek o utworzenie INF związany jest z pozwoleniem na zgłoszeniu celnym (kod informacji dodatkowej 00100), wówczas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>w celu uzyskania numeru INF</w:t>
      </w:r>
      <w:r w:rsidRPr="00C978A8">
        <w:rPr>
          <w:rFonts w:asciiTheme="minorHAnsi" w:hAnsiTheme="minorHAnsi" w:cstheme="minorHAnsi"/>
          <w:sz w:val="22"/>
          <w:szCs w:val="22"/>
        </w:rPr>
        <w:t xml:space="preserve">, należy przyjąć następujący tryb postępowania: </w:t>
      </w:r>
    </w:p>
    <w:p w:rsidR="00C978A8" w:rsidRPr="00C978A8" w:rsidRDefault="00C978A8" w:rsidP="00C978A8">
      <w:pPr>
        <w:pStyle w:val="Default"/>
        <w:spacing w:after="14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‒ przedsiębiorca dysponuje unikalnym numerem zgłoszenia celnego (LRN – numer zgłoszenia celnego utworzony przez jego system informatyczny dotyczący przywozu lub wywozu), który pobiera z pola 7 zgłoszenia celnego i wprowadza ten element danych do pola „numer pozwolenia / zgłoszenia” w systemie INF STP; </w:t>
      </w:r>
    </w:p>
    <w:p w:rsid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‒ organ celny przyjmuje wniosek o utworzenie INF w systemie INF SP, a następnie po zaakceptowaniu takiego wniosku generowany jest numer INF;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78A8" w:rsidRPr="00C978A8" w:rsidRDefault="00C978A8" w:rsidP="00C978A8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‒ po uzyskaniu numeru INF z systemu INF, przedsiębiorca wpisuje numer INF w polu 44 zgłoszenia celnego i przesyła zgłoszenie celne do krajowego systemu przywozu lub wywozu; </w:t>
      </w:r>
    </w:p>
    <w:p w:rsidR="00C978A8" w:rsidRPr="00C978A8" w:rsidRDefault="00C978A8" w:rsidP="00C978A8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‒ organ celny sprawdza zgodność danych INF z danymi w zgłoszeniu celnym. Jeśli wszystko się zgadza, to wprowadza numer zgłoszenia celnego do systemu INF SP w pole zatytułowane „MRN”, a następnie zwalnia towary / produkty do procedury celnej (w tym przypadku nie ma bilansowania takiego jak przy pozwoleniu w pełnej formie przy ubieganiu się o INF przed objęciem towaru </w:t>
      </w:r>
      <w:r w:rsidRPr="00C978A8">
        <w:rPr>
          <w:rFonts w:asciiTheme="minorHAnsi" w:hAnsiTheme="minorHAnsi" w:cstheme="minorHAnsi"/>
          <w:sz w:val="22"/>
          <w:szCs w:val="22"/>
        </w:rPr>
        <w:lastRenderedPageBreak/>
        <w:t xml:space="preserve">procedurą, bowiem ilość towaru zadeklarowana w INF będzie taka sama jak ilość zadeklarowana w zgłoszeniu celnym stanowiącym równocześnie wniosek o udzielenie pozwolenia). </w:t>
      </w:r>
    </w:p>
    <w:p w:rsidR="00C978A8" w:rsidRPr="00C978A8" w:rsidRDefault="00C978A8" w:rsidP="00C978A8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11. </w:t>
      </w:r>
      <w:r w:rsidRPr="00C978A8">
        <w:rPr>
          <w:rFonts w:asciiTheme="minorHAnsi" w:hAnsiTheme="minorHAnsi" w:cstheme="minorHAnsi"/>
          <w:sz w:val="22"/>
          <w:szCs w:val="22"/>
        </w:rPr>
        <w:t xml:space="preserve">Przepisy przewidują, że po uzgodnieniu tego z organem celnym, możliwe jest zastosowanie zamiast INF, innych środków elektronicznej wymiany informacji (art. 176 ust. 1 lit. a) UKC-RD). Obowiązują wówczas następujące zasady: </w:t>
      </w:r>
    </w:p>
    <w:p w:rsidR="00C978A8" w:rsidRPr="00C978A8" w:rsidRDefault="00C978A8" w:rsidP="00C978A8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‒ w przypadku pozwoleń udzielonych w tzw. pełnej formie (wydanych przez komórki postępowania) formą podstawową powinien być INF, a inna elektroniczna forma wymiany informacji może być stosowana w uzasadnionych przypadkach; </w:t>
      </w:r>
    </w:p>
    <w:p w:rsidR="00C978A8" w:rsidRPr="00C978A8" w:rsidRDefault="00C978A8" w:rsidP="00C978A8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>‒ w przypadku pozwoleń udzielanych na podstawie zgłoszenia celnego dotyczących napraw</w:t>
      </w:r>
      <w:r>
        <w:rPr>
          <w:rFonts w:asciiTheme="minorHAnsi" w:hAnsiTheme="minorHAnsi" w:cstheme="minorHAnsi"/>
          <w:sz w:val="22"/>
          <w:szCs w:val="22"/>
        </w:rPr>
        <w:t xml:space="preserve"> lub wymiany</w:t>
      </w:r>
      <w:r w:rsidRPr="00C978A8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z pominięciem procesów przetwórczych</w:t>
      </w:r>
      <w:r w:rsidRPr="00C978A8">
        <w:rPr>
          <w:rFonts w:asciiTheme="minorHAnsi" w:hAnsiTheme="minorHAnsi" w:cstheme="minorHAnsi"/>
          <w:sz w:val="22"/>
          <w:szCs w:val="22"/>
        </w:rPr>
        <w:t xml:space="preserve">) dopuszczalne jest użycie rozliczenia zamknięcia jako innej elektronicznej formy wymiany informacji, zamiast INF, przy założeniu, że: </w:t>
      </w:r>
    </w:p>
    <w:p w:rsidR="00C978A8" w:rsidRPr="00C978A8" w:rsidRDefault="00C978A8" w:rsidP="00C978A8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• w zgłoszeniu celnym o objęcie i zamknięcie procedury wskazany będzie kod 4DK3 (4DK3 –– korzystanie z innych niż INF środków elektronicznej wymiany informacji uzgodnionych z organem celnym w związku z art. 176 ust. 1 lit. a UKC-RD), </w:t>
      </w:r>
    </w:p>
    <w:p w:rsidR="00C978A8" w:rsidRPr="00C978A8" w:rsidRDefault="00C978A8" w:rsidP="00C978A8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• w zgłoszeniu celnym stanowiącym zakończenie procedury podany zostanie dodatkowo kod 0PL11 (e-załączniki) i jako e-załącznik do tego zgłoszenia celnego zostanie przesłane rozliczenie zamknięcia (jako dokument INNY w systemie e-załączniki), o którym mowa w art. 175 UKC-RD w formie elektronicznej. Przesłane rozliczenie zamknięcia w formie elektronicznej z uwagi na okoliczność, iż dotyczyć będzie rozliczenia towarów w ilości pojedynczych sztuk pozwoli na szybkie rozliczenie procedury. Rozliczenie zamknięcia przesłane za pomocą aplikacji e-załączniki pozwoli na potraktowanie go jako innej elektronicznej formy wymiany informacji i będzie funkcjonować tymczasowo do chwili wdrożenia systemu RPS, przy czym należy pamiętać, że ponieważ rozliczenie zamknięcia składane jest w kontrolnym urzędzie celnym, to zgłoszenie celne kończące procedurę będzie musiało być złożone w urzędzie celnym zakończenia będącym równocześnie kontrolnym urzędem celnym. </w:t>
      </w:r>
    </w:p>
    <w:p w:rsidR="00C978A8" w:rsidRDefault="00C978A8" w:rsidP="00C978A8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‒ w przypadku pozwoleń udzielonych na podstawie zgłoszenia celnego dotyczących realizacji procesów przetwarzania innych niż naprawa, formą podstawową jest INF. </w:t>
      </w:r>
    </w:p>
    <w:p w:rsidR="00C978A8" w:rsidRPr="00C978A8" w:rsidRDefault="00C978A8" w:rsidP="00C978A8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12. </w:t>
      </w:r>
      <w:r w:rsidRPr="00C978A8">
        <w:rPr>
          <w:rFonts w:asciiTheme="minorHAnsi" w:hAnsiTheme="minorHAnsi" w:cstheme="minorHAnsi"/>
          <w:sz w:val="22"/>
          <w:szCs w:val="22"/>
        </w:rPr>
        <w:t xml:space="preserve">Wprowadzony został nowy kod dokumentu TARIC służący do identyfikacji INF utworzonego w systemie INF. Jest to kod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C710.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Kod dokumentu C710, po którym należy podać numer INF nadany przez System INF, z wyjątkiem przypadków szczególnych opisanych w punkcie 4, dla których zostało przewidziane podawanie numeru „papierowego” INF również dla kodu C710, należy podać w polu 44 w zgłoszeniach celnych przywozowych oraz wywozowych związanych z realizacją procedury uszlachetniania czynnego oraz uszlachetniania biernego.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13. </w:t>
      </w:r>
      <w:r w:rsidRPr="00C978A8">
        <w:rPr>
          <w:rFonts w:asciiTheme="minorHAnsi" w:hAnsiTheme="minorHAnsi" w:cstheme="minorHAnsi"/>
          <w:sz w:val="22"/>
          <w:szCs w:val="22"/>
        </w:rPr>
        <w:t xml:space="preserve">W przypadku pozwolenia na zgłoszeniu celnym oraz w przypadku, gdy organ celny w „pełnym” pozwoleniu wyraził zgodę na to, aby posiadacz pozwolenia stosował środki elektronicznej wymiany informacji inne niż INF, to wówczas w zgłoszeniach celnych przywozowych i wywozowych należy zastosować nowy krajowy kod dokumentu –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4DK3.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Kod 4DK3 </w:t>
      </w:r>
      <w:r w:rsidRPr="00C978A8">
        <w:rPr>
          <w:rFonts w:asciiTheme="minorHAnsi" w:hAnsiTheme="minorHAnsi" w:cstheme="minorHAnsi"/>
          <w:sz w:val="22"/>
          <w:szCs w:val="22"/>
        </w:rPr>
        <w:t xml:space="preserve">oznacza korzystanie z innych niż INF środków elektronicznej wymiany informacji uzgodnionych z organem celnym w związku z art. 176 ust. 1 lit. a UKC-RD. Kod ten należy podać w polu 44 zgłoszenia celnego. </w:t>
      </w:r>
    </w:p>
    <w:p w:rsid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W systemach AIS/IMPORT oraz AES/ECS2 zaimplementowane zostały stosowne reguły walidacyjne w związku z ww. nowymi kodami. W tym kontekście brak podania lub błędne podanie kodu skutkować będzie (docelowo) odrzuceniem zgłoszenia celnego albo niedokonaniem wprowadzenia stosownych danych do unijnego systemu INF.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14. Zmiana w zakresie podawanych kodów dodatkowych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lastRenderedPageBreak/>
        <w:t xml:space="preserve">W związku z wdrożeniem systemu INF w miejsce dotychczas stosowanych dla uszlachetniania czynnego kodów unijnych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10200 </w:t>
      </w:r>
      <w:r w:rsidRPr="00C978A8">
        <w:rPr>
          <w:rFonts w:asciiTheme="minorHAnsi" w:hAnsiTheme="minorHAnsi" w:cstheme="minorHAnsi"/>
          <w:sz w:val="22"/>
          <w:szCs w:val="22"/>
        </w:rPr>
        <w:t xml:space="preserve">oraz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10300 </w:t>
      </w:r>
      <w:r w:rsidRPr="00C978A8">
        <w:rPr>
          <w:rFonts w:asciiTheme="minorHAnsi" w:hAnsiTheme="minorHAnsi" w:cstheme="minorHAnsi"/>
          <w:sz w:val="22"/>
          <w:szCs w:val="22"/>
        </w:rPr>
        <w:t xml:space="preserve">dla przypadków, które określone zostały rozporządzeniem wykonawczym Komisji (UE) 2019/1394 z dnia 10 września 2019 r., </w:t>
      </w:r>
      <w:r>
        <w:rPr>
          <w:rFonts w:asciiTheme="minorHAnsi" w:hAnsiTheme="minorHAnsi" w:cstheme="minorHAnsi"/>
          <w:sz w:val="22"/>
          <w:szCs w:val="22"/>
        </w:rPr>
        <w:t>są</w:t>
      </w:r>
      <w:r w:rsidRPr="00C978A8">
        <w:rPr>
          <w:rFonts w:asciiTheme="minorHAnsi" w:hAnsiTheme="minorHAnsi" w:cstheme="minorHAnsi"/>
          <w:sz w:val="22"/>
          <w:szCs w:val="22"/>
        </w:rPr>
        <w:t xml:space="preserve">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od dnia 1 czerwca 2020 r. </w:t>
      </w:r>
      <w:r w:rsidRPr="00C978A8">
        <w:rPr>
          <w:rFonts w:asciiTheme="minorHAnsi" w:hAnsiTheme="minorHAnsi" w:cstheme="minorHAnsi"/>
          <w:sz w:val="22"/>
          <w:szCs w:val="22"/>
        </w:rPr>
        <w:t xml:space="preserve">stosowane odpowiednio kody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>00700 (</w:t>
      </w:r>
      <w:r w:rsidRPr="00C978A8">
        <w:rPr>
          <w:rFonts w:asciiTheme="minorHAnsi" w:hAnsiTheme="minorHAnsi" w:cstheme="minorHAnsi"/>
          <w:sz w:val="22"/>
          <w:szCs w:val="22"/>
        </w:rPr>
        <w:t xml:space="preserve">w związku z art. 176 ust. 1 lit. c) oraz art. 241 ust. 1 akapit pierwszy rozporządzenia delegowanego (UE) 2015/ 2446) i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00800 </w:t>
      </w:r>
      <w:r w:rsidRPr="00C978A8">
        <w:rPr>
          <w:rFonts w:asciiTheme="minorHAnsi" w:hAnsiTheme="minorHAnsi" w:cstheme="minorHAnsi"/>
          <w:sz w:val="22"/>
          <w:szCs w:val="22"/>
        </w:rPr>
        <w:t xml:space="preserve">(w związku z art. 241 ust. 1 akapit drugi rozporządzenia delegowanego (UE) 2015/2446), o których mowa w rozporządzeniu wykonawczym Komisji (UE) 2015/2447. Kody te są określone w załączniku B do Rozporządzenia Wykonawczego dla danej 2/2.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>W zgłoszeniu celnym w systemie AIS/IMPORT do kolejnej procedury celnej następującej po procedurze uszlachetniania czynnego</w:t>
      </w:r>
      <w:r w:rsidRPr="00C978A8">
        <w:rPr>
          <w:rFonts w:asciiTheme="minorHAnsi" w:hAnsiTheme="minorHAnsi" w:cstheme="minorHAnsi"/>
          <w:sz w:val="22"/>
          <w:szCs w:val="22"/>
        </w:rPr>
        <w:t xml:space="preserve">, dzięki której procedura uszlachetniania czynnego będzie mogła zostać zamknięta zgodnie z art. 215 ust. 1 UKC, zgłoszenie celne do kolejnej procedury celnej, inne niż zgłoszenie za pomocą karnetu ATA/CPD, musi zawierać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w polu 44 kod 00700. W polu 44 musi zostać podana także informacja dotycząca numeru pozwolenia na stosowanie procedury uszlachetniania czynnego, to znaczy kod 00700 z numerem pozwolenia lub informacja dotycząca numeru INF, czyli kod C710 a po nim numer INF.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Jeżeli towary objęte procedurą uszlachetniania czynnego podlegają szczególnym środkom polityki handlowej i takie środki mają w dalszym ciągu zastosowanie w chwili objęcia towarów kolejną procedurą celną, niezależnie od tego, czy towary te stanowią produkty przetworzone, czy też nie, zgłoszenie celne do kolejnej procedury celnej musi zawierać dane, o których mowa w akapicie powyżej oraz dodatkowo kod informacji dodatkowej </w:t>
      </w: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00800 </w:t>
      </w:r>
      <w:r w:rsidRPr="00C978A8">
        <w:rPr>
          <w:rFonts w:asciiTheme="minorHAnsi" w:hAnsiTheme="minorHAnsi" w:cstheme="minorHAnsi"/>
          <w:sz w:val="22"/>
          <w:szCs w:val="22"/>
        </w:rPr>
        <w:t xml:space="preserve">w polu 44.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Jeżeli towary objęte procedurą uszlachetniania czynnego są powrotnie wywożone zgodnie z art. 270 ust. 1 UKC, to zgłoszenie do powrotnego wywozu musi zawierać dane, o których mowa powyższych dwóch akapitach.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15. </w:t>
      </w:r>
      <w:r w:rsidRPr="00C978A8">
        <w:rPr>
          <w:rFonts w:asciiTheme="minorHAnsi" w:hAnsiTheme="minorHAnsi" w:cstheme="minorHAnsi"/>
          <w:sz w:val="22"/>
          <w:szCs w:val="22"/>
        </w:rPr>
        <w:t xml:space="preserve">Jeśli wniosek o utworzenie INF ma dotyczyć wielu pozycji towarowych, możliwe jest skorzystanie z narzędzia w postaci szablonu. Umożliwia on dodanie (wpisanie do systemu) wielu pozycji towarowych za pośrednictwem funkcji przesyłania </w:t>
      </w:r>
      <w:proofErr w:type="spellStart"/>
      <w:r w:rsidRPr="00C978A8">
        <w:rPr>
          <w:rFonts w:asciiTheme="minorHAnsi" w:hAnsiTheme="minorHAnsi" w:cstheme="minorHAnsi"/>
          <w:b/>
          <w:bCs/>
          <w:sz w:val="22"/>
          <w:szCs w:val="22"/>
        </w:rPr>
        <w:t>csv</w:t>
      </w:r>
      <w:proofErr w:type="spellEnd"/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78A8">
        <w:rPr>
          <w:rFonts w:asciiTheme="minorHAnsi" w:hAnsiTheme="minorHAnsi" w:cstheme="minorHAnsi"/>
          <w:sz w:val="22"/>
          <w:szCs w:val="22"/>
        </w:rPr>
        <w:t xml:space="preserve">[szablon podobny do tego dostępnego w CDMS TP]. Podczas przesyłania szablonu system sprawdza format i zawartość pliku oraz ostrzega użytkowników przed potencjalnymi błędami.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Szablony dla procedury uszlachetniania czynnego oraz uszlachetniania biernego zamieszczone zostały na stronie PUESC-&gt;INF-&gt; FORMULARZE: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sz w:val="22"/>
          <w:szCs w:val="22"/>
        </w:rPr>
        <w:t xml:space="preserve">INFSTP_IPO.zip INFSTP_OPO.zip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8A8">
        <w:rPr>
          <w:rFonts w:asciiTheme="minorHAnsi" w:hAnsiTheme="minorHAnsi" w:cstheme="minorHAnsi"/>
          <w:b/>
          <w:bCs/>
          <w:sz w:val="22"/>
          <w:szCs w:val="22"/>
        </w:rPr>
        <w:t xml:space="preserve">16. </w:t>
      </w:r>
      <w:r w:rsidRPr="00C978A8">
        <w:rPr>
          <w:rFonts w:asciiTheme="minorHAnsi" w:hAnsiTheme="minorHAnsi" w:cstheme="minorHAnsi"/>
          <w:sz w:val="22"/>
          <w:szCs w:val="22"/>
        </w:rPr>
        <w:t xml:space="preserve">Komisja Europejska przygotowała materiały informacyjne dotyczące systemu INF, które od dnia 1 czerwca 2020r. </w:t>
      </w:r>
      <w:r>
        <w:rPr>
          <w:rFonts w:asciiTheme="minorHAnsi" w:hAnsiTheme="minorHAnsi" w:cstheme="minorHAnsi"/>
          <w:sz w:val="22"/>
          <w:szCs w:val="22"/>
        </w:rPr>
        <w:t>są</w:t>
      </w:r>
      <w:r w:rsidRPr="00C978A8">
        <w:rPr>
          <w:rFonts w:asciiTheme="minorHAnsi" w:hAnsiTheme="minorHAnsi" w:cstheme="minorHAnsi"/>
          <w:sz w:val="22"/>
          <w:szCs w:val="22"/>
        </w:rPr>
        <w:t xml:space="preserve"> dostępne na stronie internetowej Komisji Europejskiej: </w:t>
      </w:r>
    </w:p>
    <w:p w:rsidR="00C978A8" w:rsidRPr="00C978A8" w:rsidRDefault="00C978A8" w:rsidP="00C978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66F79" w:rsidRPr="00C978A8" w:rsidRDefault="00682FF9" w:rsidP="00C978A8">
      <w:pPr>
        <w:rPr>
          <w:rFonts w:cstheme="minorHAnsi"/>
        </w:rPr>
      </w:pPr>
      <w:hyperlink r:id="rId7" w:history="1">
        <w:r w:rsidR="00C978A8" w:rsidRPr="00C978A8">
          <w:rPr>
            <w:rStyle w:val="Hipercze"/>
            <w:rFonts w:cstheme="minorHAnsi"/>
          </w:rPr>
          <w:t>https://ec.europa.eu/taxation_customs/online-services-new/online-services-and-databases-customs/central-system-standardised-exchange_en</w:t>
        </w:r>
      </w:hyperlink>
    </w:p>
    <w:sectPr w:rsidR="00866F79" w:rsidRPr="00C97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FF9" w:rsidRDefault="00682FF9" w:rsidP="005A25DB">
      <w:pPr>
        <w:spacing w:after="0" w:line="240" w:lineRule="auto"/>
      </w:pPr>
      <w:r>
        <w:separator/>
      </w:r>
    </w:p>
  </w:endnote>
  <w:endnote w:type="continuationSeparator" w:id="0">
    <w:p w:rsidR="00682FF9" w:rsidRDefault="00682FF9" w:rsidP="005A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FF9" w:rsidRDefault="00682FF9" w:rsidP="005A25DB">
      <w:pPr>
        <w:spacing w:after="0" w:line="240" w:lineRule="auto"/>
      </w:pPr>
      <w:r>
        <w:separator/>
      </w:r>
    </w:p>
  </w:footnote>
  <w:footnote w:type="continuationSeparator" w:id="0">
    <w:p w:rsidR="00682FF9" w:rsidRDefault="00682FF9" w:rsidP="005A2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FA36"/>
    <w:multiLevelType w:val="hybridMultilevel"/>
    <w:tmpl w:val="4D6EC8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8"/>
    <w:rsid w:val="000E508E"/>
    <w:rsid w:val="00387E73"/>
    <w:rsid w:val="005A25DB"/>
    <w:rsid w:val="00682FF9"/>
    <w:rsid w:val="00866F79"/>
    <w:rsid w:val="00C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7ACFC9-2802-46F6-9949-9F1B7232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7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8A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7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axation_customs/online-services-new/online-services-and-databases-customs/central-system-standardised-exchange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1839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 Michał</dc:creator>
  <cp:keywords/>
  <dc:description/>
  <cp:lastModifiedBy>Mystkowska Sylwia</cp:lastModifiedBy>
  <cp:revision>4</cp:revision>
  <dcterms:created xsi:type="dcterms:W3CDTF">2021-12-14T13:40:00Z</dcterms:created>
  <dcterms:modified xsi:type="dcterms:W3CDTF">2021-12-21T15:02:00Z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MF\ANSY;Mystkowska Sylwia</vt:lpwstr>
  </property>
  <property fmtid="{D5CDD505-2E9C-101B-9397-08002B2CF9AE}" pid="4" name="MFClassificationDate">
    <vt:lpwstr>2021-12-21T16:02:27.4003285+01:00</vt:lpwstr>
  </property>
  <property fmtid="{D5CDD505-2E9C-101B-9397-08002B2CF9AE}" pid="5" name="MFClassifiedBySID">
    <vt:lpwstr>MF\S-1-5-21-1525952054-1005573771-2909822258-8639</vt:lpwstr>
  </property>
  <property fmtid="{D5CDD505-2E9C-101B-9397-08002B2CF9AE}" pid="6" name="MFGRNItemId">
    <vt:lpwstr>GRN-50622fd2-e66f-44bd-a4e2-6bb9c35bbb0d</vt:lpwstr>
  </property>
  <property fmtid="{D5CDD505-2E9C-101B-9397-08002B2CF9AE}" pid="7" name="MFHash">
    <vt:lpwstr>x2C9zl7lpVa6IndxkIBjmxnk7wbWPBMPnAUDi4Qcc1A=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